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EA" w:rsidRPr="0061694C" w:rsidRDefault="00A21BF7">
      <w:pPr>
        <w:rPr>
          <w:rFonts w:ascii="Scala Sans Pro" w:hAnsi="Scala Sans Pro"/>
          <w:b/>
          <w:bCs/>
          <w:sz w:val="32"/>
          <w:szCs w:val="32"/>
          <w:u w:val="single"/>
        </w:rPr>
      </w:pPr>
      <w:r w:rsidRPr="0061694C">
        <w:rPr>
          <w:rFonts w:ascii="Scala Sans Pro" w:hAnsi="Scala Sans Pro"/>
          <w:b/>
          <w:bCs/>
          <w:sz w:val="32"/>
          <w:szCs w:val="32"/>
          <w:u w:val="single"/>
        </w:rPr>
        <w:t>Wallwork HIP</w:t>
      </w:r>
    </w:p>
    <w:p w:rsidR="00A21BF7" w:rsidRPr="00A21BF7" w:rsidRDefault="00A21BF7">
      <w:pPr>
        <w:rPr>
          <w:rFonts w:ascii="Scala Sans Pro" w:hAnsi="Scala Sans Pro"/>
          <w:b/>
          <w:bCs/>
          <w:u w:val="single"/>
        </w:rPr>
      </w:pPr>
      <w:r>
        <w:rPr>
          <w:rFonts w:ascii="Scala Sans Pro" w:hAnsi="Scala Sans Pro"/>
          <w:b/>
          <w:bCs/>
          <w:u w:val="single"/>
        </w:rPr>
        <w:t>“Suitability for HIP Processing” – T&amp;Cs 10.1</w:t>
      </w:r>
    </w:p>
    <w:p w:rsidR="00A21BF7" w:rsidRPr="00A21BF7" w:rsidRDefault="000E7E42" w:rsidP="00614FC5">
      <w:pPr>
        <w:pStyle w:val="NoSpacing"/>
        <w:rPr>
          <w:rFonts w:ascii="Scala Sans Pro" w:hAnsi="Scala Sans Pro"/>
          <w:i/>
          <w:lang w:val="en-GB"/>
        </w:rPr>
      </w:pPr>
      <w:r w:rsidRPr="00A21BF7">
        <w:rPr>
          <w:rFonts w:ascii="Scala Sans Pro" w:hAnsi="Scala Sans Pro"/>
          <w:i/>
          <w:lang w:val="en-GB"/>
        </w:rPr>
        <w:t>Typical and unacceptable sources of contamination that are frequently detected are as follows</w:t>
      </w:r>
      <w:r w:rsidR="00614FC5" w:rsidRPr="00A21BF7">
        <w:rPr>
          <w:rFonts w:ascii="Scala Sans Pro" w:hAnsi="Scala Sans Pro"/>
          <w:i/>
          <w:lang w:val="en-GB"/>
        </w:rPr>
        <w:t>:</w:t>
      </w:r>
    </w:p>
    <w:p w:rsidR="00A21BF7" w:rsidRDefault="00A21BF7" w:rsidP="00614FC5">
      <w:pPr>
        <w:pStyle w:val="NoSpacing"/>
        <w:rPr>
          <w:rFonts w:ascii="Scala Sans Pro" w:hAnsi="Scala Sans Pro"/>
          <w:lang w:val="en-GB"/>
        </w:rPr>
      </w:pPr>
    </w:p>
    <w:p w:rsidR="00614FC5" w:rsidRPr="00194477" w:rsidRDefault="00614FC5" w:rsidP="00A21BF7">
      <w:pPr>
        <w:pStyle w:val="NoSpacing"/>
        <w:numPr>
          <w:ilvl w:val="0"/>
          <w:numId w:val="1"/>
        </w:numPr>
        <w:rPr>
          <w:rFonts w:ascii="Scala Sans Pro" w:hAnsi="Scala Sans Pro"/>
          <w:bCs/>
          <w:lang w:val="en-GB"/>
        </w:rPr>
      </w:pPr>
      <w:r w:rsidRPr="00194477">
        <w:rPr>
          <w:rFonts w:ascii="Scala Sans Pro" w:hAnsi="Scala Sans Pro"/>
          <w:bCs/>
          <w:lang w:val="en-GB"/>
        </w:rPr>
        <w:t>Pen or paint marking</w:t>
      </w:r>
    </w:p>
    <w:p w:rsidR="00614FC5" w:rsidRPr="00194477" w:rsidRDefault="00614FC5" w:rsidP="00A21BF7">
      <w:pPr>
        <w:pStyle w:val="NoSpacing"/>
        <w:numPr>
          <w:ilvl w:val="0"/>
          <w:numId w:val="1"/>
        </w:numPr>
        <w:rPr>
          <w:rFonts w:ascii="Scala Sans Pro" w:hAnsi="Scala Sans Pro"/>
          <w:bCs/>
          <w:lang w:val="en-GB"/>
        </w:rPr>
      </w:pPr>
      <w:r w:rsidRPr="00194477">
        <w:rPr>
          <w:rFonts w:ascii="Scala Sans Pro" w:hAnsi="Scala Sans Pro"/>
          <w:bCs/>
          <w:lang w:val="en-GB"/>
        </w:rPr>
        <w:t>Identifying ‘stickers’</w:t>
      </w:r>
    </w:p>
    <w:p w:rsidR="00614FC5" w:rsidRPr="00194477" w:rsidRDefault="00614FC5" w:rsidP="00A21BF7">
      <w:pPr>
        <w:pStyle w:val="NoSpacing"/>
        <w:numPr>
          <w:ilvl w:val="0"/>
          <w:numId w:val="1"/>
        </w:numPr>
        <w:rPr>
          <w:rFonts w:ascii="Scala Sans Pro" w:hAnsi="Scala Sans Pro"/>
          <w:bCs/>
          <w:lang w:val="en-GB"/>
        </w:rPr>
      </w:pPr>
      <w:r w:rsidRPr="00194477">
        <w:rPr>
          <w:rFonts w:ascii="Scala Sans Pro" w:hAnsi="Scala Sans Pro"/>
          <w:bCs/>
          <w:lang w:val="en-GB"/>
        </w:rPr>
        <w:t>Casting dust</w:t>
      </w:r>
      <w:r w:rsidR="000E7E42">
        <w:rPr>
          <w:rFonts w:ascii="Scala Sans Pro" w:hAnsi="Scala Sans Pro"/>
          <w:bCs/>
          <w:lang w:val="en-GB"/>
        </w:rPr>
        <w:t>, sand</w:t>
      </w:r>
      <w:r w:rsidRPr="00194477">
        <w:rPr>
          <w:rFonts w:ascii="Scala Sans Pro" w:hAnsi="Scala Sans Pro"/>
          <w:bCs/>
          <w:lang w:val="en-GB"/>
        </w:rPr>
        <w:t xml:space="preserve"> and debris remaining on and inside parts</w:t>
      </w:r>
    </w:p>
    <w:p w:rsidR="00614FC5" w:rsidRPr="00194477" w:rsidRDefault="00614FC5" w:rsidP="00A21BF7">
      <w:pPr>
        <w:pStyle w:val="NoSpacing"/>
        <w:numPr>
          <w:ilvl w:val="0"/>
          <w:numId w:val="1"/>
        </w:numPr>
        <w:rPr>
          <w:rFonts w:ascii="Scala Sans Pro" w:hAnsi="Scala Sans Pro"/>
          <w:bCs/>
          <w:lang w:val="en-GB"/>
        </w:rPr>
      </w:pPr>
      <w:r w:rsidRPr="00194477">
        <w:rPr>
          <w:rFonts w:ascii="Scala Sans Pro" w:hAnsi="Scala Sans Pro"/>
          <w:bCs/>
          <w:lang w:val="en-GB"/>
        </w:rPr>
        <w:t xml:space="preserve">Cutting fluids, or other </w:t>
      </w:r>
      <w:r>
        <w:rPr>
          <w:rFonts w:ascii="Scala Sans Pro" w:hAnsi="Scala Sans Pro"/>
          <w:bCs/>
          <w:lang w:val="en-GB"/>
        </w:rPr>
        <w:t>oils, etc.</w:t>
      </w:r>
    </w:p>
    <w:p w:rsidR="00614FC5" w:rsidRDefault="00614FC5" w:rsidP="00A21BF7">
      <w:pPr>
        <w:pStyle w:val="NoSpacing"/>
        <w:numPr>
          <w:ilvl w:val="0"/>
          <w:numId w:val="1"/>
        </w:numPr>
        <w:rPr>
          <w:rFonts w:ascii="Scala Sans Pro" w:hAnsi="Scala Sans Pro"/>
          <w:bCs/>
          <w:lang w:val="en-GB"/>
        </w:rPr>
      </w:pPr>
      <w:r w:rsidRPr="00194477">
        <w:rPr>
          <w:rFonts w:ascii="Scala Sans Pro" w:hAnsi="Scala Sans Pro"/>
          <w:bCs/>
          <w:lang w:val="en-GB"/>
        </w:rPr>
        <w:t xml:space="preserve">Machining </w:t>
      </w:r>
      <w:proofErr w:type="spellStart"/>
      <w:r w:rsidRPr="00194477">
        <w:rPr>
          <w:rFonts w:ascii="Scala Sans Pro" w:hAnsi="Scala Sans Pro"/>
          <w:bCs/>
          <w:lang w:val="en-GB"/>
        </w:rPr>
        <w:t>swarf</w:t>
      </w:r>
      <w:proofErr w:type="spellEnd"/>
    </w:p>
    <w:p w:rsidR="00614FC5" w:rsidRDefault="000E7E42" w:rsidP="00A21BF7">
      <w:pPr>
        <w:pStyle w:val="NoSpacing"/>
        <w:numPr>
          <w:ilvl w:val="0"/>
          <w:numId w:val="1"/>
        </w:numPr>
        <w:rPr>
          <w:rFonts w:ascii="Scala Sans Pro" w:hAnsi="Scala Sans Pro"/>
          <w:bCs/>
          <w:lang w:val="en-GB"/>
        </w:rPr>
      </w:pPr>
      <w:r>
        <w:rPr>
          <w:rFonts w:ascii="Scala Sans Pro" w:hAnsi="Scala Sans Pro"/>
          <w:bCs/>
          <w:lang w:val="en-GB"/>
        </w:rPr>
        <w:t>P</w:t>
      </w:r>
      <w:r w:rsidR="00614FC5" w:rsidRPr="00194477">
        <w:rPr>
          <w:rFonts w:ascii="Scala Sans Pro" w:hAnsi="Scala Sans Pro"/>
          <w:bCs/>
          <w:lang w:val="en-GB"/>
        </w:rPr>
        <w:t>hysical debris</w:t>
      </w:r>
    </w:p>
    <w:p w:rsidR="00614FC5" w:rsidRPr="00194477" w:rsidRDefault="00614FC5" w:rsidP="00A21BF7">
      <w:pPr>
        <w:pStyle w:val="NoSpacing"/>
        <w:numPr>
          <w:ilvl w:val="0"/>
          <w:numId w:val="1"/>
        </w:numPr>
        <w:rPr>
          <w:rFonts w:ascii="Scala Sans Pro" w:hAnsi="Scala Sans Pro"/>
          <w:bCs/>
          <w:lang w:val="en-GB"/>
        </w:rPr>
      </w:pPr>
      <w:r w:rsidRPr="00E24C7C">
        <w:rPr>
          <w:rFonts w:ascii="Scala Sans Pro" w:hAnsi="Scala Sans Pro"/>
          <w:bCs/>
          <w:lang w:val="en-GB"/>
        </w:rPr>
        <w:t>Sandblasting particles</w:t>
      </w:r>
    </w:p>
    <w:p w:rsidR="00614FC5" w:rsidRDefault="00614FC5" w:rsidP="00A21BF7">
      <w:pPr>
        <w:pStyle w:val="ListParagraph"/>
        <w:numPr>
          <w:ilvl w:val="0"/>
          <w:numId w:val="1"/>
        </w:numPr>
        <w:rPr>
          <w:rFonts w:ascii="Scala Sans Pro" w:hAnsi="Scala Sans Pro"/>
          <w:bCs/>
        </w:rPr>
      </w:pPr>
      <w:r w:rsidRPr="00A21BF7">
        <w:rPr>
          <w:rFonts w:ascii="Scala Sans Pro" w:hAnsi="Scala Sans Pro"/>
          <w:bCs/>
        </w:rPr>
        <w:t>Rust</w:t>
      </w:r>
    </w:p>
    <w:p w:rsidR="00A21BF7" w:rsidRPr="00A21BF7" w:rsidRDefault="00A21BF7" w:rsidP="00A21BF7">
      <w:pPr>
        <w:rPr>
          <w:rFonts w:ascii="Scala Sans Pro" w:hAnsi="Scala Sans Pro"/>
          <w:bCs/>
          <w:i/>
        </w:rPr>
      </w:pPr>
      <w:r w:rsidRPr="00A21BF7">
        <w:rPr>
          <w:rFonts w:ascii="Scala Sans Pro" w:hAnsi="Scala Sans Pro"/>
          <w:bCs/>
          <w:i/>
        </w:rPr>
        <w:t>Suitability</w:t>
      </w:r>
    </w:p>
    <w:p w:rsidR="00A21BF7" w:rsidRPr="00A21BF7" w:rsidRDefault="00614FC5" w:rsidP="00A21BF7">
      <w:pPr>
        <w:pStyle w:val="ListParagraph"/>
        <w:numPr>
          <w:ilvl w:val="0"/>
          <w:numId w:val="4"/>
        </w:numPr>
        <w:rPr>
          <w:rFonts w:ascii="Scala Sans Pro" w:hAnsi="Scala Sans Pro"/>
        </w:rPr>
      </w:pPr>
      <w:r w:rsidRPr="00A21BF7">
        <w:rPr>
          <w:rFonts w:ascii="Scala Sans Pro" w:hAnsi="Scala Sans Pro"/>
        </w:rPr>
        <w:t xml:space="preserve">It is understood that all incoming parts should be in a direct to process condition and are assessed for contamination upon arrival. </w:t>
      </w:r>
    </w:p>
    <w:p w:rsidR="00A21BF7" w:rsidRPr="00A21BF7" w:rsidRDefault="00614FC5" w:rsidP="00A21BF7">
      <w:pPr>
        <w:pStyle w:val="ListParagraph"/>
        <w:numPr>
          <w:ilvl w:val="0"/>
          <w:numId w:val="4"/>
        </w:numPr>
        <w:rPr>
          <w:rFonts w:ascii="Scala Sans Pro" w:hAnsi="Scala Sans Pro"/>
        </w:rPr>
      </w:pPr>
      <w:r w:rsidRPr="00A21BF7">
        <w:rPr>
          <w:rFonts w:ascii="Scala Sans Pro" w:hAnsi="Scala Sans Pro"/>
        </w:rPr>
        <w:t xml:space="preserve">Where any issues are noted, your order will be delayed while we discuss a suitable route forward together. </w:t>
      </w:r>
    </w:p>
    <w:p w:rsidR="00A21BF7" w:rsidRDefault="00614FC5" w:rsidP="00A21BF7">
      <w:pPr>
        <w:pStyle w:val="ListParagraph"/>
        <w:numPr>
          <w:ilvl w:val="0"/>
          <w:numId w:val="4"/>
        </w:numPr>
        <w:rPr>
          <w:rFonts w:ascii="Scala Sans Pro" w:hAnsi="Scala Sans Pro"/>
        </w:rPr>
      </w:pPr>
      <w:r w:rsidRPr="00A21BF7">
        <w:rPr>
          <w:rFonts w:ascii="Scala Sans Pro" w:hAnsi="Scala Sans Pro"/>
        </w:rPr>
        <w:t>In exceptional circumstances and where we have a suitable means of cleaning, we may also need to apply a surcharge for the work to be undertaken.</w:t>
      </w:r>
    </w:p>
    <w:p w:rsidR="00A21BF7" w:rsidRPr="00A21BF7" w:rsidRDefault="00A21BF7" w:rsidP="00A21BF7">
      <w:pPr>
        <w:rPr>
          <w:rFonts w:ascii="Scala Sans Pro" w:hAnsi="Scala Sans Pro"/>
          <w:i/>
        </w:rPr>
      </w:pPr>
      <w:r w:rsidRPr="00A21BF7">
        <w:rPr>
          <w:rFonts w:ascii="Scala Sans Pro" w:hAnsi="Scala Sans Pro"/>
          <w:i/>
        </w:rPr>
        <w:t>T&amp;Cs</w:t>
      </w:r>
      <w:r w:rsidR="004446CF">
        <w:rPr>
          <w:rFonts w:ascii="Scala Sans Pro" w:hAnsi="Scala Sans Pro"/>
          <w:i/>
        </w:rPr>
        <w:t xml:space="preserve"> reference</w:t>
      </w:r>
    </w:p>
    <w:p w:rsidR="00A21BF7" w:rsidRPr="00A21BF7" w:rsidRDefault="00A21BF7" w:rsidP="00A21BF7">
      <w:pPr>
        <w:spacing w:after="0" w:line="240" w:lineRule="auto"/>
        <w:ind w:left="720" w:hanging="720"/>
        <w:rPr>
          <w:rFonts w:eastAsia="Arial" w:cs="Arial"/>
        </w:rPr>
      </w:pPr>
      <w:r>
        <w:rPr>
          <w:rFonts w:eastAsia="Arial" w:cs="Arial"/>
        </w:rPr>
        <w:t>10.1</w:t>
      </w:r>
      <w:r>
        <w:rPr>
          <w:rFonts w:eastAsia="Arial" w:cs="Arial"/>
        </w:rPr>
        <w:tab/>
      </w:r>
      <w:r w:rsidRPr="00A21BF7">
        <w:rPr>
          <w:rFonts w:eastAsia="Arial" w:cs="Arial"/>
        </w:rPr>
        <w:t>It is the Customer’s responsibility to ensure that the Goods are suitable for direct Processing, and must be received in a clean condition, free from contamination, foreign objects, and inserts that may harm the Customer’s Goods during processing, process stability and results. Any further work, processing, and preparation undertaken by the Company to make the Customer’s Goods fit to process will be charged additionally. All goods sent for HIP Processing must arrive in a clean condition, please see Wallwork guide “Suitability for HIP Processing”.</w:t>
      </w:r>
    </w:p>
    <w:p w:rsidR="00A21BF7" w:rsidRPr="00E04461" w:rsidRDefault="00A21BF7" w:rsidP="00A21BF7">
      <w:pPr>
        <w:ind w:left="-142"/>
        <w:rPr>
          <w:rFonts w:eastAsia="Arial" w:cs="Arial"/>
        </w:rPr>
      </w:pPr>
    </w:p>
    <w:p w:rsidR="00A21BF7" w:rsidRDefault="00A21BF7" w:rsidP="00A21BF7">
      <w:pPr>
        <w:spacing w:after="0" w:line="240" w:lineRule="auto"/>
        <w:ind w:left="720" w:hanging="720"/>
        <w:rPr>
          <w:rFonts w:eastAsia="Arial" w:cs="Arial"/>
        </w:rPr>
      </w:pPr>
      <w:r>
        <w:rPr>
          <w:rFonts w:eastAsia="Arial" w:cs="Arial"/>
        </w:rPr>
        <w:t>10.2</w:t>
      </w:r>
      <w:r>
        <w:rPr>
          <w:rFonts w:eastAsia="Arial" w:cs="Arial"/>
        </w:rPr>
        <w:tab/>
      </w:r>
      <w:r w:rsidRPr="00A21BF7">
        <w:rPr>
          <w:rFonts w:eastAsia="Arial" w:cs="Arial"/>
        </w:rPr>
        <w:t>It is the Customer’s responsibility to ensure that the Goods are suitable for Processing, and the Customer represents and warrants that the Goods will not in any way damage or otherwise render inoperable the Company’s equipment including without limitation HIP vessels a</w:t>
      </w:r>
      <w:r>
        <w:rPr>
          <w:rFonts w:eastAsia="Arial" w:cs="Arial"/>
        </w:rPr>
        <w:t>nd associated equipment.</w:t>
      </w:r>
      <w:r w:rsidRPr="00A21BF7">
        <w:rPr>
          <w:rFonts w:eastAsia="Arial" w:cs="Arial"/>
        </w:rPr>
        <w:t xml:space="preserve"> </w:t>
      </w:r>
    </w:p>
    <w:p w:rsidR="004446CF" w:rsidRPr="00A21BF7" w:rsidRDefault="004446CF" w:rsidP="00A21BF7">
      <w:pPr>
        <w:spacing w:after="0" w:line="240" w:lineRule="auto"/>
        <w:ind w:left="720" w:hanging="720"/>
        <w:rPr>
          <w:rFonts w:eastAsia="Arial" w:cs="Arial"/>
        </w:rPr>
      </w:pPr>
    </w:p>
    <w:p w:rsidR="004446CF" w:rsidRPr="004446CF" w:rsidRDefault="004446CF" w:rsidP="004446CF">
      <w:pPr>
        <w:spacing w:after="0" w:line="240" w:lineRule="auto"/>
        <w:ind w:left="720" w:hanging="720"/>
        <w:rPr>
          <w:rFonts w:eastAsia="Arial" w:cs="Arial"/>
        </w:rPr>
      </w:pPr>
      <w:r>
        <w:rPr>
          <w:rFonts w:eastAsia="Arial" w:cs="Arial"/>
        </w:rPr>
        <w:t>11.2</w:t>
      </w:r>
      <w:r>
        <w:rPr>
          <w:rFonts w:eastAsia="Arial" w:cs="Arial"/>
        </w:rPr>
        <w:tab/>
      </w:r>
      <w:r w:rsidRPr="004446CF">
        <w:rPr>
          <w:rFonts w:eastAsia="Arial" w:cs="Arial"/>
        </w:rPr>
        <w:t>HIP Processing will be provided on a basis of time, temperature and pressure as specified by the customer (“HIP Parameters”), and the Customer acknowledges and agrees that it will be accepted as correct Processing providing the HIP Parameters are maintained within the tolerances and no claim on the Company can be made for incorrect Processing.</w:t>
      </w:r>
    </w:p>
    <w:p w:rsidR="004446CF" w:rsidRPr="00D456CD" w:rsidRDefault="004446CF" w:rsidP="004446CF">
      <w:pPr>
        <w:pStyle w:val="ListParagraph"/>
        <w:rPr>
          <w:rFonts w:eastAsia="Arial" w:cs="Arial"/>
        </w:rPr>
      </w:pPr>
    </w:p>
    <w:p w:rsidR="004446CF" w:rsidRPr="004446CF" w:rsidRDefault="004446CF" w:rsidP="004446CF">
      <w:pPr>
        <w:pStyle w:val="ListParagraph"/>
        <w:numPr>
          <w:ilvl w:val="2"/>
          <w:numId w:val="12"/>
        </w:numPr>
        <w:spacing w:after="0" w:line="240" w:lineRule="auto"/>
        <w:rPr>
          <w:rFonts w:eastAsia="Arial" w:cs="Arial"/>
        </w:rPr>
      </w:pPr>
      <w:r w:rsidRPr="004446CF">
        <w:rPr>
          <w:rFonts w:eastAsia="Arial" w:cs="Arial"/>
        </w:rPr>
        <w:t xml:space="preserve">Notwithstanding the HIP Parameters defined in Clause m11.2, HIP processing will </w:t>
      </w:r>
      <w:r w:rsidR="00BE665D">
        <w:rPr>
          <w:rFonts w:eastAsia="Arial" w:cs="Arial"/>
        </w:rPr>
        <w:t>contain a pre pressurisation step</w:t>
      </w:r>
      <w:r w:rsidRPr="004446CF">
        <w:rPr>
          <w:rFonts w:eastAsia="Arial" w:cs="Arial"/>
        </w:rPr>
        <w:t xml:space="preserve"> as part of the specification, i.e. it will be added to any specification issued by the customer for processing unless identified by the customer before processing starts and acknowledged by WHT.</w:t>
      </w:r>
    </w:p>
    <w:p w:rsidR="00614FC5" w:rsidRDefault="00614FC5" w:rsidP="00614FC5"/>
    <w:p w:rsidR="00614FC5" w:rsidRDefault="00614FC5" w:rsidP="00614FC5">
      <w:pPr>
        <w:rPr>
          <w:rFonts w:ascii="Scala Sans Pro" w:hAnsi="Scala Sans Pro"/>
        </w:rPr>
      </w:pPr>
      <w:r>
        <w:rPr>
          <w:rFonts w:ascii="Scala Sans Pro" w:hAnsi="Scala Sans Pro"/>
        </w:rPr>
        <w:t>We recognise that with good communication and clarity on this matter, we will continue to remain able to support you with the superior customer service, lead-times and quality that have become associated with working with us</w:t>
      </w:r>
    </w:p>
    <w:p w:rsidR="00614FC5" w:rsidRPr="00614FC5" w:rsidRDefault="00614FC5" w:rsidP="00614FC5">
      <w:pPr>
        <w:rPr>
          <w:rFonts w:ascii="Scala Sans Pro" w:hAnsi="Scala Sans Pro"/>
        </w:rPr>
      </w:pPr>
    </w:p>
    <w:sectPr w:rsidR="00614FC5" w:rsidRPr="00614F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52" w:rsidRDefault="00970952" w:rsidP="000E7E42">
      <w:pPr>
        <w:spacing w:after="0" w:line="240" w:lineRule="auto"/>
      </w:pPr>
      <w:r>
        <w:separator/>
      </w:r>
    </w:p>
  </w:endnote>
  <w:endnote w:type="continuationSeparator" w:id="0">
    <w:p w:rsidR="00970952" w:rsidRDefault="00970952" w:rsidP="000E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ala Sans Pro">
    <w:altName w:val="Corbel"/>
    <w:charset w:val="00"/>
    <w:family w:val="auto"/>
    <w:pitch w:val="variable"/>
    <w:sig w:usb0="A00000FF" w:usb1="5000E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2" w:rsidRDefault="004C7C82">
    <w:pPr>
      <w:pStyle w:val="Footer"/>
    </w:pPr>
    <w:r>
      <w:t>Version 2.0 6/1/2025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52" w:rsidRDefault="00970952" w:rsidP="000E7E42">
      <w:pPr>
        <w:spacing w:after="0" w:line="240" w:lineRule="auto"/>
      </w:pPr>
      <w:r>
        <w:separator/>
      </w:r>
    </w:p>
  </w:footnote>
  <w:footnote w:type="continuationSeparator" w:id="0">
    <w:p w:rsidR="00970952" w:rsidRDefault="00970952" w:rsidP="000E7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E42" w:rsidRDefault="00A21BF7" w:rsidP="00A21BF7">
    <w:pPr>
      <w:pStyle w:val="Header"/>
      <w:jc w:val="center"/>
    </w:pPr>
    <w:r w:rsidRPr="00CA3481">
      <w:rPr>
        <w:noProof/>
        <w:lang w:eastAsia="en-GB"/>
      </w:rPr>
      <w:drawing>
        <wp:inline distT="0" distB="0" distL="0" distR="0" wp14:anchorId="10A405A9" wp14:editId="7F79E3A1">
          <wp:extent cx="2085975" cy="609600"/>
          <wp:effectExtent l="19050" t="0" r="9525" b="0"/>
          <wp:docPr id="2" name="Picture 1" descr="W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t Logo"/>
                  <pic:cNvPicPr>
                    <a:picLocks noChangeAspect="1" noChangeArrowheads="1"/>
                  </pic:cNvPicPr>
                </pic:nvPicPr>
                <pic:blipFill>
                  <a:blip r:embed="rId1"/>
                  <a:srcRect/>
                  <a:stretch>
                    <a:fillRect/>
                  </a:stretch>
                </pic:blipFill>
                <pic:spPr bwMode="auto">
                  <a:xfrm>
                    <a:off x="0" y="0"/>
                    <a:ext cx="2085975" cy="609600"/>
                  </a:xfrm>
                  <a:prstGeom prst="rect">
                    <a:avLst/>
                  </a:prstGeom>
                  <a:noFill/>
                  <a:ln w="9525">
                    <a:noFill/>
                    <a:miter lim="800000"/>
                    <a:headEnd/>
                    <a:tailEnd/>
                  </a:ln>
                </pic:spPr>
              </pic:pic>
            </a:graphicData>
          </a:graphic>
        </wp:inline>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2D5F"/>
      </v:shape>
    </w:pict>
  </w:numPicBullet>
  <w:abstractNum w:abstractNumId="0" w15:restartNumberingAfterBreak="0">
    <w:nsid w:val="040979C6"/>
    <w:multiLevelType w:val="multilevel"/>
    <w:tmpl w:val="4C62A9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C821A4"/>
    <w:multiLevelType w:val="multilevel"/>
    <w:tmpl w:val="4C62A9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D0107B"/>
    <w:multiLevelType w:val="multilevel"/>
    <w:tmpl w:val="C888B090"/>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74A0894"/>
    <w:multiLevelType w:val="multilevel"/>
    <w:tmpl w:val="8D5EF124"/>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DBD5700"/>
    <w:multiLevelType w:val="multilevel"/>
    <w:tmpl w:val="E05E30F4"/>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2825437"/>
    <w:multiLevelType w:val="multilevel"/>
    <w:tmpl w:val="FB244638"/>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9390A3F"/>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6D6AD0"/>
    <w:multiLevelType w:val="hybridMultilevel"/>
    <w:tmpl w:val="15E4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B72E5"/>
    <w:multiLevelType w:val="hybridMultilevel"/>
    <w:tmpl w:val="297CD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B162E"/>
    <w:multiLevelType w:val="hybridMultilevel"/>
    <w:tmpl w:val="54BE90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B50BC"/>
    <w:multiLevelType w:val="hybridMultilevel"/>
    <w:tmpl w:val="F0BAC1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26AA6"/>
    <w:multiLevelType w:val="multilevel"/>
    <w:tmpl w:val="E05E30F4"/>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0"/>
  </w:num>
  <w:num w:numId="3">
    <w:abstractNumId w:val="9"/>
  </w:num>
  <w:num w:numId="4">
    <w:abstractNumId w:val="8"/>
  </w:num>
  <w:num w:numId="5">
    <w:abstractNumId w:val="6"/>
  </w:num>
  <w:num w:numId="6">
    <w:abstractNumId w:val="2"/>
  </w:num>
  <w:num w:numId="7">
    <w:abstractNumId w:val="3"/>
  </w:num>
  <w:num w:numId="8">
    <w:abstractNumId w:val="5"/>
  </w:num>
  <w:num w:numId="9">
    <w:abstractNumId w:val="1"/>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5"/>
    <w:rsid w:val="000E7E42"/>
    <w:rsid w:val="004446CF"/>
    <w:rsid w:val="004C7C82"/>
    <w:rsid w:val="00614FC5"/>
    <w:rsid w:val="0061694C"/>
    <w:rsid w:val="00970952"/>
    <w:rsid w:val="00A21BF7"/>
    <w:rsid w:val="00BE665D"/>
    <w:rsid w:val="00C47EEA"/>
    <w:rsid w:val="00C71171"/>
    <w:rsid w:val="00EE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6B050"/>
  <w15:chartTrackingRefBased/>
  <w15:docId w15:val="{66979A3B-1A0A-4412-8BA0-ECE83759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FC5"/>
    <w:pPr>
      <w:spacing w:after="0" w:line="240" w:lineRule="auto"/>
    </w:pPr>
    <w:rPr>
      <w:lang w:val="de-DE"/>
    </w:rPr>
  </w:style>
  <w:style w:type="paragraph" w:styleId="Header">
    <w:name w:val="header"/>
    <w:basedOn w:val="Normal"/>
    <w:link w:val="HeaderChar"/>
    <w:uiPriority w:val="99"/>
    <w:unhideWhenUsed/>
    <w:rsid w:val="000E7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42"/>
  </w:style>
  <w:style w:type="paragraph" w:styleId="Footer">
    <w:name w:val="footer"/>
    <w:basedOn w:val="Normal"/>
    <w:link w:val="FooterChar"/>
    <w:uiPriority w:val="99"/>
    <w:unhideWhenUsed/>
    <w:rsid w:val="000E7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42"/>
  </w:style>
  <w:style w:type="paragraph" w:styleId="ListParagraph">
    <w:name w:val="List Paragraph"/>
    <w:basedOn w:val="Normal"/>
    <w:uiPriority w:val="34"/>
    <w:qFormat/>
    <w:rsid w:val="00A2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1046-79EA-4476-AC6C-56830FA5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Bailey</dc:creator>
  <cp:keywords/>
  <dc:description/>
  <cp:lastModifiedBy>Simeon Collins</cp:lastModifiedBy>
  <cp:revision>6</cp:revision>
  <dcterms:created xsi:type="dcterms:W3CDTF">2025-01-06T15:11:00Z</dcterms:created>
  <dcterms:modified xsi:type="dcterms:W3CDTF">2025-01-07T10:01:00Z</dcterms:modified>
</cp:coreProperties>
</file>